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76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 xml:space="preserve">ПРАВИЛА ПРОВЕДЕНИЯ МАРКЕТИНГОВОЙ АКЦИИ </w:t>
      </w:r>
    </w:p>
    <w:p>
      <w:pPr>
        <w:pStyle w:val="Normal"/>
        <w:shd w:val="clear" w:color="auto" w:fill="FFFFFF"/>
        <w:spacing w:lineRule="auto" w:line="276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«Большой летний розыгрыш»</w:t>
      </w:r>
    </w:p>
    <w:p>
      <w:pPr>
        <w:pStyle w:val="Normal"/>
        <w:shd w:val="clear" w:color="auto" w:fill="FFFFFF"/>
        <w:spacing w:lineRule="auto" w:line="276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 xml:space="preserve">Настоящая маркетинговая акция «Большой летний розыгрыш» (далее по тексту – «Акция») проводится в соответствии с изложенными ниже условиями (далее по тексту – «Правила»), направлена на повышение лояльности клиентов и объемов продаж в ресторане «Метаморфозы», летней веранде «Метаморфозы.Лето», ресторане-террасе «Крыша Сибири», а также на привлечение новых клиентов. </w:t>
      </w:r>
      <w:r>
        <w:rPr/>
        <w:t>Акция является рекламным стимулирующим мероприятием в смысле ст. 9 Федерального закона РФ от 13.03.2006 г. № 38-ФЗ «О рекламе», не является публичным конкурсом в смысле гл. 57 Гражданского кодекса РФ, не является лотереей в смысле Федерального закона РФ от 11.11.2003 № 138-ФЗ «О лотереях»,  и не является публичной офертой в смысле ст. 437 Гражданского кодекса Российской Федерации (за исключением условий вступления клиентов в Акцию).</w:t>
      </w:r>
      <w:r>
        <w:rPr>
          <w:color w:val="000000"/>
        </w:rPr>
        <w:t xml:space="preserve"> Призовой фонд настоящей Акции формируется исключительно за счет средств Организатора. Средства иных лиц для проведения Акции не привлекаются.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276"/>
        <w:jc w:val="center"/>
        <w:rPr>
          <w:color w:val="000000"/>
        </w:rPr>
      </w:pPr>
      <w:r>
        <w:rPr>
          <w:b/>
          <w:bCs/>
          <w:color w:val="000000"/>
        </w:rPr>
        <w:t>1.  ОБЩИЕ ПОЛОЖЕНИЯ</w:t>
      </w:r>
    </w:p>
    <w:p>
      <w:pPr>
        <w:pStyle w:val="Normal"/>
        <w:ind w:left="34" w:hanging="0"/>
        <w:jc w:val="both"/>
        <w:rPr>
          <w:color w:val="000000"/>
        </w:rPr>
      </w:pPr>
      <w:r>
        <w:rPr>
          <w:color w:val="000000"/>
        </w:rPr>
        <w:t>1.1. Организатор Акции: Общество с ограниченной ответственностью «Метаморфозы» (далее по тексту – «Организатор»), место нахождения (юридический адрес):</w:t>
      </w:r>
      <w:r>
        <w:rPr/>
        <w:t xml:space="preserve"> 644024, г. Омск, ул. Т.К.Щербанева, д. 20, этаж 1, помещение 45</w:t>
      </w:r>
      <w:r>
        <w:rPr>
          <w:color w:val="000000"/>
        </w:rPr>
        <w:t>, ИНН:</w:t>
      </w:r>
      <w:r>
        <w:rPr/>
        <w:t xml:space="preserve"> 5503229036</w:t>
      </w:r>
      <w:r>
        <w:rPr>
          <w:color w:val="000000"/>
        </w:rPr>
        <w:t>.</w:t>
      </w:r>
    </w:p>
    <w:p>
      <w:pPr>
        <w:pStyle w:val="Normal"/>
        <w:shd w:val="clear" w:color="auto" w:fill="FFFFFF"/>
        <w:spacing w:lineRule="auto" w:line="276"/>
        <w:jc w:val="both"/>
        <w:rPr>
          <w:b/>
          <w:b/>
          <w:bCs/>
          <w:color w:val="000000"/>
        </w:rPr>
      </w:pPr>
      <w:r>
        <w:rPr>
          <w:color w:val="000000"/>
        </w:rPr>
        <w:t>1.2</w:t>
      </w:r>
      <w:r>
        <w:rPr>
          <w:b/>
          <w:bCs/>
          <w:color w:val="000000"/>
        </w:rPr>
        <w:t>. Общий срок проведения Акции с</w:t>
      </w:r>
      <w:r>
        <w:rPr>
          <w:b/>
          <w:bCs/>
          <w:color w:val="000000"/>
          <w:shd w:fill="auto" w:val="clear"/>
        </w:rPr>
        <w:t xml:space="preserve"> 00:01 </w:t>
      </w:r>
      <w:r>
        <w:rPr>
          <w:b/>
          <w:bCs/>
          <w:color w:val="000000"/>
          <w:shd w:fill="auto" w:val="clear"/>
          <w:lang w:val="en-US"/>
        </w:rPr>
        <w:t>01</w:t>
      </w:r>
      <w:r>
        <w:rPr>
          <w:b/>
          <w:bCs/>
          <w:color w:val="000000"/>
          <w:shd w:fill="auto" w:val="clear"/>
          <w:lang w:val="en-US"/>
        </w:rPr>
        <w:t>.0</w:t>
      </w:r>
      <w:r>
        <w:rPr>
          <w:b/>
          <w:bCs/>
          <w:color w:val="000000"/>
          <w:shd w:fill="auto" w:val="clear"/>
          <w:lang w:val="en-US"/>
        </w:rPr>
        <w:t>6</w:t>
      </w:r>
      <w:r>
        <w:rPr>
          <w:b/>
          <w:bCs/>
          <w:color w:val="000000"/>
          <w:shd w:fill="auto" w:val="clear"/>
          <w:lang w:val="en-US"/>
        </w:rPr>
        <w:t>.2026</w:t>
      </w:r>
      <w:r>
        <w:rPr>
          <w:b/>
          <w:bCs/>
          <w:color w:val="000000"/>
          <w:shd w:fill="auto" w:val="clear"/>
        </w:rPr>
        <w:t xml:space="preserve"> г. </w:t>
      </w:r>
      <w:r>
        <w:rPr>
          <w:b/>
          <w:bCs/>
          <w:color w:val="000000"/>
        </w:rPr>
        <w:t>по 30.09.2026 г.:</w:t>
      </w:r>
    </w:p>
    <w:p>
      <w:pPr>
        <w:pStyle w:val="Normal"/>
        <w:shd w:val="clear" w:color="auto" w:fill="FFFFFF"/>
        <w:spacing w:lineRule="auto" w:line="276"/>
        <w:jc w:val="both"/>
        <w:rPr>
          <w:b/>
          <w:b/>
          <w:bCs/>
          <w:color w:val="000000"/>
        </w:rPr>
      </w:pPr>
      <w:r>
        <w:rPr>
          <w:b/>
          <w:bCs/>
          <w:color w:val="000000"/>
        </w:rPr>
        <w:t xml:space="preserve">1.2.1. Срок для выполнения условий Акции: с 00:01 </w:t>
      </w:r>
      <w:r>
        <w:rPr>
          <w:b/>
          <w:bCs/>
          <w:color w:val="000000"/>
          <w:lang w:val="en-US"/>
        </w:rPr>
        <w:t>01</w:t>
      </w:r>
      <w:r>
        <w:rPr>
          <w:b/>
          <w:bCs/>
          <w:color w:val="000000"/>
          <w:lang w:val="en-US"/>
        </w:rPr>
        <w:t>.0</w:t>
      </w:r>
      <w:r>
        <w:rPr>
          <w:b/>
          <w:bCs/>
          <w:color w:val="000000"/>
          <w:lang w:val="en-US"/>
        </w:rPr>
        <w:t>6</w:t>
      </w:r>
      <w:r>
        <w:rPr>
          <w:b/>
          <w:bCs/>
          <w:color w:val="000000"/>
          <w:lang w:val="en-US"/>
        </w:rPr>
        <w:t>.2026</w:t>
      </w:r>
      <w:r>
        <w:rPr>
          <w:b/>
          <w:bCs/>
          <w:color w:val="000000"/>
        </w:rPr>
        <w:t xml:space="preserve"> г. по 15.09.2026 г. 23:59 по местному времени (включительно).</w:t>
      </w:r>
    </w:p>
    <w:p>
      <w:pPr>
        <w:pStyle w:val="Normal"/>
        <w:shd w:val="clear" w:color="auto" w:fill="FFFFFF"/>
        <w:spacing w:lineRule="auto" w:line="276"/>
        <w:jc w:val="both"/>
        <w:rPr>
          <w:b/>
          <w:b/>
          <w:bCs/>
          <w:color w:val="000000"/>
        </w:rPr>
      </w:pPr>
      <w:r>
        <w:rPr>
          <w:b/>
          <w:bCs/>
          <w:color w:val="000000"/>
        </w:rPr>
        <w:t>1.2.2. Период определения победителей и выдачи призов: – с 16.09.2026 г. по 30.09.2026 г. по местному времени (включительно).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1.3. Лица, соответствующие настоящим Правилам и выполнившие требования, установленные настоящими Правилами, далее по тексту настоящих Правил именуются Участниками Акции.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1.4. Участниками акции могут являться дееспособные граждане Российской Федерации, достигшие возраста 18 лет (далее – Участники), выполнившие условия, указанные в разделе 2 настоящих Правил, соответствующие всем требованиям настоящих Правил.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Участие в Акции осуществляется исключительно по желанию клиента и не является обязательным.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Акция не распространяется на юридических лиц и индивидуальных предпринимателей.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1.5. Информирование Участников и потенциальных Участников Акции о правилах, условиях и сроках проведения Акции (в том числе в случае изменения настоящих Правил, приостановлении или отмене Акции) происходит следующим образом: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 xml:space="preserve">1.5.1. Путем размещения информации (полная версия настоящих Правил, объявления, сообщения об Акции) на интернет-сайте Организатора </w:t>
      </w:r>
      <w:hyperlink r:id="rId2">
        <w:r>
          <w:rPr>
            <w:color w:val="auto"/>
            <w:u w:val="none"/>
          </w:rPr>
          <w:t>https://mmz5060.ru/</w:t>
        </w:r>
      </w:hyperlink>
      <w:r>
        <w:rPr/>
        <w:t>, в официальной группе Организатора в социальной сети ВКонтакте (</w:t>
      </w:r>
      <w:hyperlink r:id="rId3" w:tgtFrame="_blank">
        <w:r>
          <w:rPr>
            <w:shd w:fill="FFFFFF" w:val="clear"/>
          </w:rPr>
          <w:t>https://vk.com/mmz5060</w:t>
        </w:r>
      </w:hyperlink>
      <w:r>
        <w:rPr/>
        <w:t>)</w:t>
      </w:r>
      <w:r>
        <w:rPr>
          <w:shd w:fill="FFFFFF" w:val="clear"/>
        </w:rPr>
        <w:t xml:space="preserve"> и мобильном приложении </w:t>
      </w:r>
      <w:hyperlink r:id="rId4" w:tgtFrame="_blank">
        <w:r>
          <w:rPr>
            <w:shd w:fill="FFFFFF" w:val="clear"/>
          </w:rPr>
          <w:t>https://apps.apple.com/app/id6499460468</w:t>
        </w:r>
      </w:hyperlink>
      <w:r>
        <w:rPr/>
        <w:t>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1.5.2. Путем размещения информационных материалов в зале ресторана, участвующего в Акции.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 xml:space="preserve">1.6. Территория проведения Акции: ресторан «Метаморфозы» и летняя веранда «Метаморфозы.Лето», ресторан-терраса «Крыша Сибири», расположенные по адресу: </w:t>
      </w:r>
      <w:r>
        <w:rPr/>
        <w:t>г. Омск, ул. Т.К.Щербанева, д. 20.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1.7. Принимая участие в Акции, участники полностью соглашаются с настоящими Правилами и заранее дают свое согласие на возможное изменение условий Акции Организатором в соответствии с настоящими Правилами.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276"/>
        <w:jc w:val="center"/>
        <w:rPr>
          <w:color w:val="000000"/>
        </w:rPr>
      </w:pPr>
      <w:r>
        <w:rPr>
          <w:b/>
          <w:bCs/>
          <w:color w:val="000000"/>
        </w:rPr>
        <w:t>2. УСЛОВИЯ УЧАСТИЯ В АКЦИИ И ПРИЗОВОЙ ФОНД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2.1. Для того, чтобы стать Участником Акции, необходимо: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2.1.1. Быть пользователем мобильного приложения «Метаморфозы» (в случае отсутствия мобильного приложения «Метаморфозы» установить его на своё мобильное устройство). С информацией о мобильном приложении «Метаморфозы» можно ознакомиться на официальном сайте Организатора Акции.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2.1.2. В период, установленный в п. 1.2.1 настоящих Правил, Участнику Акции необходимо совершить следующие действия: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- в мобильном приложении «Метаморфозы» нажать кнопку «Участвовать в акции». Активация кнопки «Участвовать в акции» производится один раз в период действия Акции;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- совершить единовременную покупку (то есть покупку, оформленную одним чеком) любой позиции (-ий) из меню ресторана, с использованием QR-кода мобильного приложения «Метаморфозы». Совершение покупок за период действия Акции с использованием QR-кода мобильного приложения «Метаморфозы» неограниченно.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 xml:space="preserve">Совершение действий (совокупно), указанных в настоящем пункте Правил, считается заявкой на участие в Акции. Если клиент отказывается от участия в Акции, он не должен в мобильном приложении «Метаморфозы» нажимать кнопку «Участвовать в акции». </w:t>
      </w:r>
    </w:p>
    <w:p>
      <w:pPr>
        <w:pStyle w:val="Normal"/>
        <w:shd w:val="clear" w:color="auto" w:fill="FFFFFF"/>
        <w:spacing w:lineRule="auto" w:line="276"/>
        <w:jc w:val="both"/>
        <w:rPr>
          <w:bCs/>
          <w:iCs/>
          <w:color w:val="000000"/>
        </w:rPr>
      </w:pPr>
      <w:r>
        <w:rPr>
          <w:color w:val="000000"/>
        </w:rPr>
        <w:t xml:space="preserve">2.2. Форма оплаты клиентом услуг общественного питания (покупка в ресторане) (далее по тексту «услуга»): наличный, безналичный расчет </w:t>
      </w:r>
      <w:r>
        <w:rPr>
          <w:bCs/>
          <w:iCs/>
          <w:color w:val="000000"/>
        </w:rPr>
        <w:t>или расчет по системе быстрых платежей</w:t>
      </w:r>
      <w:r>
        <w:rPr>
          <w:color w:val="000000"/>
        </w:rPr>
        <w:t xml:space="preserve">.  </w:t>
      </w:r>
      <w:r>
        <w:rPr>
          <w:bCs/>
          <w:iCs/>
          <w:color w:val="000000"/>
        </w:rPr>
        <w:t>Оплата с использованием накопленных бонусных баллов за участие в программе лояльности «Метаморфозы» также участвует в Акции.</w:t>
      </w:r>
    </w:p>
    <w:p>
      <w:pPr>
        <w:pStyle w:val="Normal"/>
        <w:shd w:val="clear" w:color="auto" w:fill="FFFFFF"/>
        <w:spacing w:lineRule="auto" w:line="276"/>
        <w:jc w:val="both"/>
        <w:rPr>
          <w:bCs/>
          <w:color w:val="000000"/>
        </w:rPr>
      </w:pPr>
      <w:r>
        <w:rPr>
          <w:bCs/>
          <w:iCs/>
          <w:color w:val="000000"/>
        </w:rPr>
        <w:t>Настоящие Правила в части условий вступления клиентов в Акцию являются публичной офертой в смысле, придаваемом данному понятию п. 2 ст. 437 Гражданского кодекса Российской Федерации.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2.3. При выполнении клиентом п. 2.1 Правил Участнику начисляются виртуальные баллы в зависимости от оплаченной суммы чека (далее по тексту «сумма чека») за услуги. Далее по тексту виртуальный балл именуется – «Шанс».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2.4. Исходя из суммы чека за услуги, участнику начисляются Шансы в следующем количестве, с округлением суммы в пользу клиента: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</w:r>
    </w:p>
    <w:tbl>
      <w:tblPr>
        <w:tblStyle w:val="a4"/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43"/>
        <w:gridCol w:w="5132"/>
      </w:tblGrid>
      <w:tr>
        <w:trPr>
          <w:trHeight w:val="553" w:hRule="atLeast"/>
        </w:trPr>
        <w:tc>
          <w:tcPr>
            <w:tcW w:w="464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color w:val="000000"/>
              </w:rPr>
            </w:pPr>
            <w:r>
              <w:rPr>
                <w:color w:val="000000"/>
                <w:lang w:val="ru-RU" w:bidi="ar-SA"/>
              </w:rPr>
              <w:t>Наименование товара (услуги)</w:t>
            </w:r>
          </w:p>
        </w:tc>
        <w:tc>
          <w:tcPr>
            <w:tcW w:w="513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color w:val="000000"/>
              </w:rPr>
            </w:pPr>
            <w:r>
              <w:rPr>
                <w:color w:val="000000"/>
                <w:lang w:val="ru-RU" w:bidi="ar-SA"/>
              </w:rPr>
              <w:t>Количество Шансов</w:t>
            </w:r>
          </w:p>
        </w:tc>
      </w:tr>
      <w:tr>
        <w:trPr>
          <w:trHeight w:val="866" w:hRule="atLeast"/>
        </w:trPr>
        <w:tc>
          <w:tcPr>
            <w:tcW w:w="4643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both"/>
              <w:rPr>
                <w:color w:val="000000"/>
              </w:rPr>
            </w:pPr>
            <w:r>
              <w:rPr>
                <w:color w:val="000000"/>
                <w:lang w:val="ru-RU" w:bidi="ar-SA"/>
              </w:rPr>
              <w:t xml:space="preserve">Любая позиция (-ии) из меню ресторана в день оказания услуги </w:t>
            </w:r>
          </w:p>
        </w:tc>
        <w:tc>
          <w:tcPr>
            <w:tcW w:w="5132" w:type="dxa"/>
            <w:tcBorders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color w:val="000000"/>
              </w:rPr>
            </w:pPr>
            <w:r>
              <w:rPr>
                <w:color w:val="000000"/>
                <w:lang w:val="ru-RU" w:bidi="ar-SA"/>
              </w:rPr>
              <w:t xml:space="preserve">1 Шанс за каждые 500 рублей 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color w:val="000000"/>
              </w:rPr>
            </w:pPr>
            <w:r>
              <w:rPr>
                <w:color w:val="1A1A1A"/>
                <w:shd w:fill="FFFFFF" w:val="clear"/>
                <w:lang w:val="ru-RU" w:bidi="ar-SA"/>
              </w:rPr>
              <w:t>суммы чека за оказанные услуги</w:t>
            </w:r>
          </w:p>
        </w:tc>
      </w:tr>
    </w:tbl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 xml:space="preserve"> 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 w:themeColor="text1"/>
        </w:rPr>
      </w:pPr>
      <w:r>
        <w:rPr>
          <w:color w:val="000000" w:themeColor="text1"/>
        </w:rPr>
        <w:t xml:space="preserve">2.5. Участник Акции в период проведения Акции накапливает Шансы, общее количество которых учитывается в мобильном приложении «Метаморфозы» Участника. </w:t>
      </w:r>
    </w:p>
    <w:p>
      <w:pPr>
        <w:pStyle w:val="Normal"/>
        <w:spacing w:lineRule="auto" w:line="276"/>
        <w:jc w:val="both"/>
        <w:rPr>
          <w:color w:val="000000"/>
        </w:rPr>
      </w:pPr>
      <w:r>
        <w:rPr>
          <w:color w:val="000000"/>
        </w:rPr>
        <w:t xml:space="preserve">2.6.  16 сентября 2026 года в 00:01 ч. вступление клиентов в Акцию будет остановлено для окончательного начисления Шансов Участникам. После этого Организатором будет произведено присвоение номеров и сформирован единый реестр. Номер Участника Акции идентичен уникальному </w:t>
      </w:r>
      <w:r>
        <w:rPr>
          <w:color w:val="000000"/>
          <w:lang w:val="en-US"/>
        </w:rPr>
        <w:t>ID</w:t>
      </w:r>
      <w:r>
        <w:rPr>
          <w:color w:val="000000"/>
        </w:rPr>
        <w:t xml:space="preserve"> номеру Участника из мобильного приложения «Метаморфозы» (далее по тексту «Код»). Частота повторяемости Кодов при определении Победителей Акции зависит от количества накопленных Шансов за период выполнения условий Акции.</w:t>
      </w:r>
    </w:p>
    <w:p>
      <w:pPr>
        <w:pStyle w:val="Normal"/>
        <w:spacing w:lineRule="auto" w:line="276"/>
        <w:jc w:val="both"/>
        <w:rPr>
          <w:color w:val="000000"/>
        </w:rPr>
      </w:pPr>
      <w:r>
        <w:rPr>
          <w:color w:val="000000"/>
        </w:rPr>
        <w:t>2.7.  Общее количество накопленных Шансов будут отображаться в мобильном приложении «Метаморфозы» Участника.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 xml:space="preserve">2.8.  Призовой фонд Акции составляет: </w:t>
      </w:r>
    </w:p>
    <w:tbl>
      <w:tblPr>
        <w:tblW w:w="10803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35"/>
        <w:gridCol w:w="2692"/>
        <w:gridCol w:w="1843"/>
        <w:gridCol w:w="1560"/>
        <w:gridCol w:w="1559"/>
        <w:gridCol w:w="2013"/>
      </w:tblGrid>
      <w:tr>
        <w:trPr>
          <w:trHeight w:val="1742" w:hRule="atLeast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приза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bookmarkStart w:id="0" w:name="_Hlk86223677"/>
            <w:bookmarkStart w:id="1" w:name="_Hlk86223677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подарка (приза)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подарков (призов), шт.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натуральной части Приза, рублей (₽)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Стоимость </w:t>
            </w:r>
            <w:r>
              <w:rPr>
                <w:sz w:val="22"/>
                <w:szCs w:val="22"/>
              </w:rPr>
              <w:t xml:space="preserve">денежной части </w:t>
            </w:r>
            <w:r>
              <w:rPr>
                <w:sz w:val="22"/>
                <w:szCs w:val="22"/>
              </w:rPr>
              <w:t xml:space="preserve"> Приза,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рублей, (₽)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 стоимость призов,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bookmarkStart w:id="2" w:name="_Hlk86223677"/>
            <w:r>
              <w:rPr>
                <w:sz w:val="22"/>
                <w:szCs w:val="22"/>
              </w:rPr>
              <w:t>рублей, с учетом суммы НДФЛ (₽)</w:t>
            </w:r>
            <w:bookmarkEnd w:id="2"/>
          </w:p>
        </w:tc>
      </w:tr>
      <w:tr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highlight w:val="none"/>
                <w:shd w:fill="auto" w:val="clear"/>
                <w14:ligatures w14:val="none"/>
              </w:rPr>
            </w:pPr>
            <w:r>
              <w:rPr>
                <w:sz w:val="22"/>
                <w:szCs w:val="22"/>
                <w:shd w:fill="auto" w:val="clear"/>
                <w14:ligatures w14:val="none"/>
              </w:rPr>
              <w:t>1 «Главный приз»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highlight w:val="none"/>
                <w:shd w:fill="auto" w:val="clear"/>
                <w14:ligatures w14:val="none"/>
              </w:rPr>
            </w:pPr>
            <w:r>
              <w:rPr>
                <w:sz w:val="22"/>
                <w:szCs w:val="22"/>
                <w:shd w:fill="auto" w:val="clear"/>
                <w14:ligatures w14:val="none"/>
              </w:rPr>
              <w:t>Подарочный сертификат на поездку в г. Санкт-Петербург на сумму не превышающую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highlight w:val="none"/>
                <w:shd w:fill="auto" w:val="clear"/>
                <w14:ligatures w14:val="none"/>
              </w:rPr>
            </w:pPr>
            <w:r>
              <w:rPr>
                <w:sz w:val="22"/>
                <w:szCs w:val="22"/>
                <w:shd w:fill="auto" w:val="clear"/>
                <w14:ligatures w14:val="none"/>
              </w:rPr>
              <w:t>200 000 рублей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  <w:highlight w:val="none"/>
                <w:shd w:fill="auto" w:val="clear"/>
                <w:lang w:val="en-US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 xml:space="preserve">200 000 </w:t>
            </w:r>
            <w:r>
              <w:rPr>
                <w:sz w:val="22"/>
                <w:szCs w:val="22"/>
                <w:shd w:fill="auto" w:val="clear"/>
                <w:lang w:val="ru-RU"/>
              </w:rPr>
              <w:t>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105 538,46 р.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305 538,46</w:t>
            </w:r>
            <w:r>
              <w:rPr>
                <w:sz w:val="22"/>
                <w:szCs w:val="22"/>
                <w:shd w:fill="auto" w:val="clear"/>
              </w:rPr>
              <w:t xml:space="preserve"> ₽</w:t>
            </w:r>
          </w:p>
        </w:tc>
      </w:tr>
      <w:tr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в ресторан «Метаморфозы» на сумму 10 000,00 рублей*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2"/>
                <w:szCs w:val="22"/>
                <w:shd w:fill="auto" w:val="clear"/>
              </w:rPr>
              <w:t>20 000</w:t>
            </w:r>
            <w:r>
              <w:rPr>
                <w:sz w:val="22"/>
                <w:szCs w:val="22"/>
                <w:shd w:fill="auto" w:val="clear"/>
              </w:rPr>
              <w:t>,00 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bCs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2"/>
                <w:szCs w:val="22"/>
                <w:shd w:fill="auto" w:val="clear"/>
              </w:rPr>
              <w:t>6 461,54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26 461,54</w:t>
            </w:r>
            <w:r>
              <w:rPr>
                <w:sz w:val="22"/>
                <w:szCs w:val="22"/>
                <w:shd w:fill="auto" w:val="clear"/>
              </w:rPr>
              <w:t xml:space="preserve"> ₽</w:t>
            </w:r>
          </w:p>
        </w:tc>
      </w:tr>
      <w:tr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color w:val="000000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</w:rPr>
              <w:t xml:space="preserve">Сертификат в ресторан «Метаморфозы» на сумму </w:t>
            </w:r>
            <w:r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000,00 рублей*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8 000</w:t>
            </w:r>
            <w:r>
              <w:rPr>
                <w:sz w:val="22"/>
                <w:szCs w:val="22"/>
                <w:shd w:fill="auto" w:val="clear"/>
              </w:rPr>
              <w:t>,00 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-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8000</w:t>
            </w:r>
            <w:r>
              <w:rPr>
                <w:sz w:val="22"/>
                <w:szCs w:val="22"/>
                <w:shd w:fill="auto" w:val="clear"/>
              </w:rPr>
              <w:t>,00 ₽</w:t>
            </w:r>
          </w:p>
        </w:tc>
      </w:tr>
      <w:tr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color w:val="000000"/>
                <w:sz w:val="22"/>
                <w:szCs w:val="22"/>
                <w:shd w:fill="FFFFFF" w:val="clear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340 000</w:t>
            </w:r>
            <w:r>
              <w:rPr>
                <w:sz w:val="22"/>
                <w:szCs w:val="22"/>
              </w:rPr>
              <w:t>,00  ₽</w:t>
            </w:r>
          </w:p>
        </w:tc>
      </w:tr>
    </w:tbl>
    <w:p>
      <w:pPr>
        <w:pStyle w:val="Normal"/>
        <w:shd w:val="clear" w:color="auto" w:fill="FFFFFF"/>
        <w:spacing w:lineRule="auto" w:line="276"/>
        <w:ind w:right="129" w:hanging="0"/>
        <w:jc w:val="both"/>
        <w:rPr>
          <w:bCs/>
          <w:i/>
          <w:i/>
          <w:iCs/>
          <w:color w:val="000000"/>
          <w:sz w:val="20"/>
          <w:szCs w:val="20"/>
        </w:rPr>
      </w:pPr>
      <w:r>
        <w:rPr>
          <w:bCs/>
          <w:i/>
          <w:iCs/>
          <w:color w:val="000000"/>
          <w:sz w:val="20"/>
          <w:szCs w:val="20"/>
        </w:rPr>
        <w:t>* Сертификат может быть использован в ресторане «Метаморфозы» и летней веранде «Метаморфозы.Лето» на любые позиции из предоставленного меню в любое время дня во время работы ресторана. Сертификат должен быть использован полностью за одно посещение, остаток сгорает.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 xml:space="preserve">2.9. Разыгранные в рамках проведения Акции призы (п. 2.8 Правил) не подлежат обмену на денежные средства либо иной эквивалент приза. 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2.10. Главный приз будет использован на поездку - приобретение билетов на двух человек по направлению Омск - Санкт-Петербург – Омск и проживание на 2 ночи. Даты поездки, место проживания согласовываются Организатором и Участником Акции дополнительно в индивидуальном формате. Организатор Акции своими силами приобретает билеты, бронирует и оплачивает проживание на согласованных с Участником акции условиях. Денежные средства не выдаются для самостоятельного приобретения Участником Акции билетов и оплаты проживания. Иные расходы на поездку Организатором не оплачиваются.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2.11.</w:t>
      </w:r>
      <w:r>
        <w:rPr/>
        <w:t xml:space="preserve"> </w:t>
      </w:r>
      <w:r>
        <w:rPr>
          <w:color w:val="000000"/>
        </w:rPr>
        <w:t xml:space="preserve">Призы распределяются Организатором в соответствии с порядком определения победителей (раздел 3 Правил) и не могут быть изменены по запросу Участника Акции. 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76"/>
        <w:jc w:val="center"/>
        <w:rPr>
          <w:rFonts w:eastAsia="Calibri"/>
          <w:b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3. ПОРЯДОК ОПРЕДЕЛЕНИЯ ПОБЕДИТЕЛЕЙ И ВРУЧЕНИЯ ПРИЗОВ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rFonts w:eastAsia="Calibri"/>
          <w:lang w:eastAsia="en-US"/>
        </w:rPr>
        <w:t xml:space="preserve">3.1. </w:t>
      </w:r>
      <w:r>
        <w:rPr>
          <w:color w:val="000000"/>
        </w:rPr>
        <w:t>16 сентября 2026 года в 15 часов 00 минут по омскому времени Организатором будет разыгран Призовой фонд для участников Акции.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3.2. Определение обладателей призов производится согласно следующему порядку:</w:t>
      </w:r>
    </w:p>
    <w:p>
      <w:pPr>
        <w:pStyle w:val="Normal"/>
        <w:spacing w:lineRule="auto" w:line="276"/>
        <w:jc w:val="both"/>
        <w:rPr>
          <w:color w:val="000000"/>
          <w:lang w:val="en-US"/>
        </w:rPr>
      </w:pPr>
      <w:r>
        <w:rPr>
          <w:color w:val="000000"/>
        </w:rPr>
        <w:t xml:space="preserve">- По окончании срока для выполнения условий Акции, Организатором создается реестр Кодов (уникальных </w:t>
      </w:r>
      <w:r>
        <w:rPr>
          <w:color w:val="000000"/>
          <w:lang w:val="en-US"/>
        </w:rPr>
        <w:t>ID</w:t>
      </w:r>
      <w:r>
        <w:rPr>
          <w:color w:val="000000"/>
        </w:rPr>
        <w:t xml:space="preserve"> номеров согласно п. 2.6).</w:t>
      </w:r>
    </w:p>
    <w:p>
      <w:pPr>
        <w:pStyle w:val="Normal"/>
        <w:spacing w:lineRule="auto" w:line="276"/>
        <w:jc w:val="both"/>
        <w:rPr>
          <w:rFonts w:ascii="Arial" w:hAnsi="Arial" w:cs="Arial"/>
          <w:shd w:fill="FFFFFF" w:val="clear"/>
          <w:lang w:val="en-US"/>
        </w:rPr>
      </w:pPr>
      <w:r>
        <w:rPr>
          <w:color w:val="000000"/>
        </w:rPr>
        <w:t xml:space="preserve">- Реестр Кодов загружается в программу - случайный выбор из списка, расположенную в глобальной сети Интернет, на сайте, расположенном по адресу (на домене) </w:t>
      </w:r>
      <w:hyperlink r:id="rId5" w:tgtFrame="_blank">
        <w:r>
          <w:rPr>
            <w:shd w:fill="FFFFFF" w:val="clear"/>
          </w:rPr>
          <w:t>https://calcus.ru/random-picker</w:t>
        </w:r>
      </w:hyperlink>
      <w:r>
        <w:rPr>
          <w:rFonts w:cs="Arial" w:ascii="Arial" w:hAnsi="Arial"/>
          <w:shd w:fill="FFFFFF" w:val="clear"/>
        </w:rPr>
        <w:t>.</w:t>
      </w:r>
    </w:p>
    <w:p>
      <w:pPr>
        <w:pStyle w:val="Normal"/>
        <w:spacing w:lineRule="auto" w:line="276"/>
        <w:jc w:val="both"/>
        <w:rPr>
          <w:shd w:fill="FFFFFF" w:val="clear"/>
        </w:rPr>
      </w:pPr>
      <w:r>
        <w:rPr>
          <w:rFonts w:cs="Arial" w:ascii="Arial" w:hAnsi="Arial"/>
          <w:shd w:fill="FFFFFF" w:val="clear"/>
        </w:rPr>
        <w:t xml:space="preserve">- </w:t>
      </w:r>
      <w:r>
        <w:rPr>
          <w:shd w:fill="FFFFFF" w:val="clear"/>
        </w:rPr>
        <w:t xml:space="preserve">Программа-генератор, используя загруженный в нее реестр, случайным образом в дату розыгрыша определяет перечень Кодов (уникальных </w:t>
      </w:r>
      <w:r>
        <w:rPr>
          <w:shd w:fill="FFFFFF" w:val="clear"/>
          <w:lang w:val="en-US"/>
        </w:rPr>
        <w:t>ID</w:t>
      </w:r>
      <w:r>
        <w:rPr>
          <w:shd w:fill="FFFFFF" w:val="clear"/>
        </w:rPr>
        <w:t xml:space="preserve"> номеров), которые считаются выигрышными, а Участники в дальнейшем считаются Победителями.</w:t>
      </w:r>
    </w:p>
    <w:p>
      <w:pPr>
        <w:pStyle w:val="Normal"/>
        <w:spacing w:lineRule="auto" w:line="276"/>
        <w:jc w:val="both"/>
        <w:rPr>
          <w:shd w:fill="FFFFFF" w:val="clear"/>
        </w:rPr>
      </w:pPr>
      <w:r>
        <w:rPr>
          <w:shd w:fill="FFFFFF" w:val="clear"/>
        </w:rPr>
        <w:t xml:space="preserve">Видеозапись трансляции определения Победителей Акции, а также итоговый список Победителей Акции будет </w:t>
      </w:r>
      <w:r>
        <w:rPr>
          <w:shd w:fill="FFFFFF" w:val="clear"/>
        </w:rPr>
        <w:t xml:space="preserve">проходить в онлайн режиме и </w:t>
      </w:r>
      <w:r>
        <w:rPr>
          <w:shd w:fill="FFFFFF" w:val="clear"/>
        </w:rPr>
        <w:t xml:space="preserve"> опубликован </w:t>
      </w:r>
      <w:r>
        <w:rPr>
          <w:color w:val="000000"/>
        </w:rPr>
        <w:t xml:space="preserve">на интернет-сайте Организатора </w:t>
      </w:r>
      <w:hyperlink r:id="rId6">
        <w:r>
          <w:rPr>
            <w:color w:val="auto"/>
            <w:u w:val="none"/>
          </w:rPr>
          <w:t>https://mmz5060.ru/</w:t>
        </w:r>
      </w:hyperlink>
      <w:r>
        <w:rPr/>
        <w:t>, в официальной группе Организатора в социальной сети ВКонтакте (</w:t>
      </w:r>
      <w:hyperlink r:id="rId7" w:tgtFrame="_blank">
        <w:r>
          <w:rPr>
            <w:shd w:fill="FFFFFF" w:val="clear"/>
          </w:rPr>
          <w:t>https://vk.com/mmz5060</w:t>
        </w:r>
      </w:hyperlink>
      <w:r>
        <w:rPr/>
        <w:t>).</w:t>
      </w:r>
    </w:p>
    <w:p>
      <w:pPr>
        <w:pStyle w:val="Normal"/>
        <w:spacing w:lineRule="auto" w:line="276"/>
        <w:jc w:val="both"/>
        <w:rPr>
          <w:color w:val="000000"/>
        </w:rPr>
      </w:pPr>
      <w:r>
        <w:rPr>
          <w:shd w:fill="FFFFFF" w:val="clear"/>
        </w:rPr>
        <w:t>3.3. Призовой фонд между Участниками Акции – Победителями будет распределен следующим образом: Код Участника Акции - Победителя под № 1 из перечня Кодов, которые считаются выигрышными, получает приз № 1 «Главный приз». Коды Участников Акции – Победителей под №№ 2 и 3 из перечня Кодов, которые считаются выигрышными, получают призы под №№2 и 3 согласно п. 2.8, под №№ 4 и 5 получают призы под №№ 4 и 5 согласно п. 2.8 настоящих Правил Акции.</w:t>
      </w:r>
    </w:p>
    <w:p>
      <w:pPr>
        <w:pStyle w:val="Normal"/>
        <w:spacing w:lineRule="auto" w:line="27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3.4. При определении Победителей не используются процедуры и алгоритмы, которые позволяют заранее предопределить результат распределения призового фонда до начала его проведения. </w:t>
      </w:r>
    </w:p>
    <w:p>
      <w:pPr>
        <w:pStyle w:val="Normal"/>
        <w:spacing w:lineRule="auto" w:line="276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3.5. После полного распределения призового фонда Акции Участникам, ставшим Победителями призов из Призового фонда, поступит информация о призе от Организатора Акции, который будет связываться с каждым Участником путем телефонных звонков или отправки текстовых сообщений по номеру телефону, который был указан Участником Акции при регистрации в мобильном приложении «Метаморфозы». В случае, если Организатор по каким-либо причинам не смог связаться с Участником, последний вправе обратиться к Организатору самостоятельно за получением приза, в случае если по результатам Акции его Код (уникальный </w:t>
      </w:r>
      <w:r>
        <w:rPr>
          <w:rFonts w:eastAsia="Calibri"/>
          <w:color w:val="000000"/>
          <w:lang w:val="en-US" w:eastAsia="en-US"/>
        </w:rPr>
        <w:t>ID</w:t>
      </w:r>
      <w:r>
        <w:rPr>
          <w:rFonts w:eastAsia="Calibri"/>
          <w:color w:val="000000"/>
          <w:lang w:eastAsia="en-US"/>
        </w:rPr>
        <w:t xml:space="preserve"> номер из мобильного приложения «Метаморфозы») стал выигрышным.</w:t>
      </w:r>
    </w:p>
    <w:p>
      <w:pPr>
        <w:pStyle w:val="Normal"/>
        <w:spacing w:lineRule="auto" w:line="276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</w:t>
      </w:r>
      <w:r>
        <w:rPr>
          <w:rFonts w:eastAsia="Calibri"/>
          <w:color w:val="000000"/>
          <w:lang w:eastAsia="en-US"/>
        </w:rPr>
        <w:t xml:space="preserve">3.6. Для получения </w:t>
      </w:r>
      <w:r>
        <w:rPr>
          <w:rFonts w:eastAsia="Calibri"/>
          <w:lang w:eastAsia="en-US"/>
        </w:rPr>
        <w:t>Приза</w:t>
      </w:r>
      <w:r>
        <w:rPr>
          <w:rFonts w:eastAsia="Calibri"/>
          <w:color w:val="000000"/>
          <w:lang w:eastAsia="en-US"/>
        </w:rPr>
        <w:t xml:space="preserve"> Участнику Акции необходимо предъявить Организатору свой уникальный </w:t>
      </w:r>
      <w:r>
        <w:rPr>
          <w:rFonts w:eastAsia="Calibri"/>
          <w:color w:val="000000"/>
          <w:lang w:val="en-US" w:eastAsia="en-US"/>
        </w:rPr>
        <w:t>ID</w:t>
      </w:r>
      <w:r>
        <w:rPr>
          <w:rFonts w:eastAsia="Calibri"/>
          <w:color w:val="000000"/>
          <w:lang w:eastAsia="en-US"/>
        </w:rPr>
        <w:t xml:space="preserve"> номер из мобильного приложения «Метаморфозы» одновременно с документом, удостоверяющим личность (паспорт гражданина Российской Федерации) Участника, и свидетельством о постановке на учет в налоговом органе физического лица по месту жительства на территории Российской Федерации в срок не позднее: «30» сентября 2026 г. включительно.</w:t>
      </w:r>
    </w:p>
    <w:p>
      <w:pPr>
        <w:pStyle w:val="Normal"/>
        <w:spacing w:lineRule="auto" w:line="276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Победители вправе воспользоваться призами в срок до 31.12.2026 г.</w:t>
      </w:r>
    </w:p>
    <w:p>
      <w:pPr>
        <w:pStyle w:val="Normal"/>
        <w:spacing w:lineRule="auto" w:line="276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3.7. Организатор вручает Призы Победителям по адресу: г. Омск, ул. Т.К. Щербанева, д. 20, ресторан «Метаморфозы»</w:t>
      </w:r>
      <w:bookmarkStart w:id="3" w:name="_Hlk166856701"/>
      <w:r>
        <w:rPr>
          <w:rFonts w:eastAsia="Calibri"/>
          <w:color w:val="000000"/>
          <w:lang w:eastAsia="en-US"/>
        </w:rPr>
        <w:t xml:space="preserve">. </w:t>
      </w:r>
      <w:bookmarkEnd w:id="3"/>
      <w:r>
        <w:rPr>
          <w:rFonts w:eastAsia="Calibri"/>
          <w:color w:val="000000"/>
          <w:lang w:eastAsia="en-US"/>
        </w:rPr>
        <w:t>Вручение производится в день и время дополнительно согласованное Организатором и Участником.</w:t>
      </w:r>
    </w:p>
    <w:p>
      <w:pPr>
        <w:pStyle w:val="Normal"/>
        <w:spacing w:lineRule="auto" w:line="276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3.8. В случае невозможности получения </w:t>
      </w:r>
      <w:r>
        <w:rPr>
          <w:rFonts w:eastAsia="Calibri"/>
          <w:lang w:eastAsia="en-US"/>
        </w:rPr>
        <w:t>Призов</w:t>
      </w:r>
      <w:r>
        <w:rPr>
          <w:rFonts w:eastAsia="Calibri"/>
          <w:color w:val="000000"/>
          <w:lang w:eastAsia="en-US"/>
        </w:rPr>
        <w:t xml:space="preserve"> по адресу, указанному в п. 3.7 Правил, Организатором Акции и Участником, которому выпал соответствующий Приз, может быть согласован иной способ вручения. </w:t>
      </w:r>
    </w:p>
    <w:p>
      <w:pPr>
        <w:pStyle w:val="Normal"/>
        <w:spacing w:lineRule="auto" w:line="276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3.9. В момент вручения Участникам Акции Призов Организатор Акции и Победитель приза подписывают Акт приема-передачи соответствующего Приза в 2 (двух) экземплярах. Акты подписываются при обязательном предъявлении Победителем оригиналов его паспорта гражданина Российской Федерации и свидетельства о постановке на учет в налоговом органе физического лица по месту жительства на территории Российской Федерации. Один экземпляр Акта приема-передачи передаётся Участнику, другой – остается у Организатора.</w:t>
      </w:r>
    </w:p>
    <w:p>
      <w:pPr>
        <w:pStyle w:val="Normal"/>
        <w:spacing w:lineRule="auto" w:line="276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Победитель «Главного приза» обязан дополнительно предоставить иную информацию и документы, необходимые для получения приза проживания (сообщаются Организатором дополнительно), в том числе, но не ограничиваясь: документы на второго гражданина для приобретения билетов и бронирования.</w:t>
      </w:r>
    </w:p>
    <w:p>
      <w:pPr>
        <w:pStyle w:val="Normal"/>
        <w:spacing w:lineRule="auto" w:line="276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3.10. В случае отказа от предоставления оригиналов паспорта гражданина Российской Федерации, и/или свидетельства о постановке на учет в налоговом органе физического лица по месту жительства на территории Российской Федерации, и/или отказа от подписания акта приема-передачи, и/или отказа от передачи оригинала подписанного акта приема-передачи Организатору Акции, и/или отказа от предоставления согласия на обработку персональных данных, и/или в случае непредоставления или несвоевременного предоставления всей информации, необходимой для получения приза, означает отказ Победителя Акции от приза. При в этом случае считается невостребованным и не подлежит передаче Победителю Акции. Организатор вправе использовать такие призы по своему усмотрению. </w:t>
      </w:r>
    </w:p>
    <w:p>
      <w:pPr>
        <w:pStyle w:val="Normal"/>
        <w:spacing w:lineRule="auto" w:line="276"/>
        <w:jc w:val="both"/>
        <w:rPr>
          <w:highlight w:val="none"/>
          <w:shd w:fill="auto" w:val="clear"/>
        </w:rPr>
      </w:pPr>
      <w:r>
        <w:rPr>
          <w:rFonts w:eastAsia="Calibri"/>
          <w:color w:val="000000"/>
          <w:shd w:fill="auto" w:val="clear"/>
          <w:lang w:eastAsia="en-US"/>
        </w:rPr>
        <w:t xml:space="preserve">3.11. При выдаче приза Организатор Акции выступает в роли налогового агента и обязуется самостоятельно удержать из суммы Приза налог на доходы физических лиц по ставке 35 % (Тридцать пять процентов) с облагаемой налоговом суммы приза для перечисления его в бюджет (в соответствии с пунктом 2 статьи 224 Налогового кодекса РФ такой налог составляет 35 % от стоимости приза, превышающей сумму в размере 4 000 рублей).  В случае получения Победителем Акции в налоговом периоде (календарный год) дополнительного дохода в виде призов от участия в других маркетинговых мероприятиях от других организаций, Победитель несет обязанность по уплате НДФЛ самостоятельно, принимая во внимание тот факт, что расчет  налоговых обязательств по уплате НДФЛ с доходов в виде Акции был произведен Организатором с учетом необлагаемого минимума в размере 4 000 рублей, предусмотренного п. 28 ст. 217 НК РФ. Участники, в случае определения их Победителями, уведомлены об обязанностях уплаты налога на доходы физических лиц со стоимости приза, превышающего 4000 рублей, по ставке 35 % на основании пункта 1 статьи 207, пункта 1 статьи 210, пункта 2 статьи 224 НК РФ, а также об обязанностях налогового агента Организатора Акции удержать начисленную сумму налога непосредственно из доходов Победителя (получателя дохода) при их фактической выплате на основании пунктов 4 и 5 статьи 226 НК РФ. Победитель согласен на удержание и перечисление НДФЛ в полном размере, без учета ограничения, предусмотренного абз 2 ч. 4 ст. 116 НК РФ. При выдаче приза Организатор Акции исполняет обязанности налогового агента и исчисляет налог на доходы физических лиц, удерживая его из общей стоимости соответствующего приза в соответствии с п. 2 ст. 224 и п. 4 ст. 226 части </w:t>
      </w:r>
      <w:r>
        <w:rPr>
          <w:rFonts w:eastAsia="Calibri"/>
          <w:color w:val="000000"/>
          <w:shd w:fill="auto" w:val="clear"/>
          <w:lang w:val="en-US" w:eastAsia="en-US"/>
        </w:rPr>
        <w:t>II</w:t>
      </w:r>
      <w:r>
        <w:rPr>
          <w:rFonts w:eastAsia="Calibri"/>
          <w:color w:val="000000"/>
          <w:shd w:fill="auto" w:val="clear"/>
          <w:lang w:eastAsia="en-US"/>
        </w:rPr>
        <w:t xml:space="preserve"> НК РФ для перечисления в бюджет соответствующего уровня.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spacing w:lineRule="auto" w:line="276"/>
        <w:jc w:val="center"/>
        <w:rPr>
          <w:color w:val="000000"/>
        </w:rPr>
      </w:pPr>
      <w:r>
        <w:rPr>
          <w:b/>
          <w:bCs/>
          <w:color w:val="000000"/>
        </w:rPr>
        <w:t>4. ПРАВА И ОБЯЗАННОСТИ УЧАСТНИКОВ И ОРГАНИЗАТОРА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  <w:u w:val="single"/>
        </w:rPr>
        <w:t>4.1. Права и обязанности участников Акции: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4.1.1. Получение информации об условиях Акции в соответствии с Правилами;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4.1.2. Участник Акции в течении срока ее проведения вправе принимать участие в Акции неограниченное количество раз;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4.1.3. Участники Акции обязаны выполнять все действия, связанные с участием в Акции и получением призов, указанных в настоящих Правилах, в установленные настоящими Правилами сроки.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4.1.4. Принимая решение об участии в Акции, Участники полно и безоговорочно принимают условия Акции и соглашаются с настоящими Правилами;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4.1.5 Участники Акции имеют права и несут обязанности, установленные Правилами, а также действующим законодательством Российской Федерации.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4.1.6. Предоставить Организатору письменное согласие на обработку персональных данных, сообщенных в ходе Акции, в том числе, для получения приза. Тексты указанных документов предоставляются Победителю Организатором непосредственно при вручении приза в месте вручения приза.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  <w:u w:val="single"/>
        </w:rPr>
        <w:t>4.2. Права и обязанности Организатора Акции: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4.2.1. Обязательства Организатора Акции относительно качества Призов ограничены обязательствами, предоставленными изготовителями данных Призов.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4.2.2. Организатор Акции имеет право вступать в письменные переговоры либо иные контакты с Участниками Акции при наличии у последних вопросов в рамках проведения Акции. В иных случаях Организатор самостоятельно определяет целесообразность проведения переговоров с Участниками Акции;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4.2.3. Организатор Акции вправе п</w:t>
      </w:r>
      <w:r>
        <w:rPr/>
        <w:t>о своему собственному усмотрению вносить изменения в настоящие Правила в ходе проведения Акции, отменить или приостановить проведение Акции, если по какой-то причине любой аспект настоящей Акции не может проводиться так, как это запланировано</w:t>
      </w:r>
      <w:r>
        <w:rPr>
          <w:color w:val="000000"/>
        </w:rPr>
        <w:t>;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4.2.4. Организатор вправе требовать от Участника Акции соблюдения настоящих Правил.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4.2.5. Организатор обязан в порядке, установленном законодательством Российской Федерации, исчислить, удержать у Участников Акции, признанных Победителями, и уплатить в бюджет суммы налога на доходы физических лиц в отношении стоимости полученных Победителями Призов.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4.2.6. Обязанность Организатора по выдаче призов Участникам ограничена количеством призов, указанных в Правилах.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4.2.7. В случае отказа Участника Акции от приза по какой-либо причине, Организатор оставляет за собой право соответствующего уменьшения общего количества обладателей призов и выданных призов.</w:t>
      </w:r>
    </w:p>
    <w:p>
      <w:pPr>
        <w:pStyle w:val="Normal"/>
        <w:spacing w:lineRule="auto" w:line="276"/>
        <w:jc w:val="both"/>
        <w:rPr>
          <w:color w:val="000000"/>
        </w:rPr>
      </w:pPr>
      <w:r>
        <w:rPr>
          <w:color w:val="000000"/>
        </w:rPr>
        <w:t>4.3. Правила являются единственными официальными правилами участия в Акции. В случае возникновения ситуаций, допускающих неоднозначное толкование Правил, и/или вопросов, не урегулированных Правилами, окончательное решение о таком толковании и/или разъяснения принимаются непосредственно и исключительно Организатором Акции.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4.4. Организатор освобождается от ответственности за невыполнение или ненадлежащие выполнение своих обязательств в рамках Акции, если такое невыполнение явилось результатом действия обстоятельств непреодолимой силы (форс-мажор) в том числе: войны, революции, бунты, террористические акты, эпидемии, действия и решения официальных органов и других обстоятельств, при толковании которых принимаются понятия, регламентированные законодательством Российской Федерации.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4.5. Организатор не несет ответственности за любой ущерб, понесенный Участником Акции вследствие участия им в Акции.</w:t>
      </w:r>
    </w:p>
    <w:p>
      <w:pPr>
        <w:pStyle w:val="Normal"/>
        <w:shd w:val="clear" w:color="auto" w:fill="FFFFFF"/>
        <w:spacing w:lineRule="auto" w:line="276"/>
        <w:jc w:val="both"/>
        <w:rPr>
          <w:color w:val="000000"/>
        </w:rPr>
      </w:pPr>
      <w:r>
        <w:rPr>
          <w:color w:val="000000"/>
        </w:rPr>
        <w:t>4.6. Во всем ином, что не предусмотрено Правилами, Организатор и Участники руководствуются положениями действующего законодательства Российской Федерации.</w:t>
      </w:r>
    </w:p>
    <w:sectPr>
      <w:type w:val="nextPage"/>
      <w:pgSz w:w="11906" w:h="16838"/>
      <w:pgMar w:left="1418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31d0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unhideWhenUsed/>
    <w:rsid w:val="00531d0c"/>
    <w:rPr>
      <w:color w:val="0000FF"/>
      <w:u w:val="single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45808"/>
    <w:rPr>
      <w:color w:val="605E5C"/>
      <w:shd w:fill="E1DFDD" w:val="clear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ed0997"/>
    <w:rPr>
      <w:rFonts w:ascii="Tahoma" w:hAnsi="Tahoma" w:eastAsia="Times New Roman" w:cs="Tahoma"/>
      <w:kern w:val="0"/>
      <w:sz w:val="16"/>
      <w:szCs w:val="16"/>
      <w:lang w:eastAsia="ru-RU"/>
      <w14:ligatures w14:val="non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e74b2"/>
    <w:rPr>
      <w:sz w:val="16"/>
      <w:szCs w:val="16"/>
    </w:rPr>
  </w:style>
  <w:style w:type="character" w:styleId="Style16" w:customStyle="1">
    <w:name w:val="Текст примечания Знак"/>
    <w:basedOn w:val="DefaultParagraphFont"/>
    <w:link w:val="Annotationtext"/>
    <w:uiPriority w:val="99"/>
    <w:qFormat/>
    <w:rsid w:val="003e74b2"/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rsid w:val="003e74b2"/>
    <w:rPr>
      <w:rFonts w:ascii="Times New Roman" w:hAnsi="Times New Roman" w:eastAsia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165a9"/>
    <w:rPr>
      <w:color w:val="605E5C"/>
      <w:shd w:fill="E1DFDD" w:val="clear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ucida 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uiPriority w:val="1"/>
    <w:qFormat/>
    <w:rsid w:val="00531d0c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  <w14:ligatures w14:val="none"/>
    </w:rPr>
  </w:style>
  <w:style w:type="paragraph" w:styleId="ListParagraph">
    <w:name w:val="List Paragraph"/>
    <w:basedOn w:val="Normal"/>
    <w:uiPriority w:val="34"/>
    <w:qFormat/>
    <w:rsid w:val="00b079dc"/>
    <w:pPr>
      <w:spacing w:before="0" w:after="0"/>
      <w:ind w:left="720" w:hanging="0"/>
      <w:contextualSpacing/>
    </w:pPr>
    <w:rPr/>
  </w:style>
  <w:style w:type="paragraph" w:styleId="Revision">
    <w:name w:val="Revision"/>
    <w:uiPriority w:val="99"/>
    <w:semiHidden/>
    <w:qFormat/>
    <w:rsid w:val="00e5314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  <w14:ligatures w14:val="none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ed0997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6"/>
    <w:uiPriority w:val="99"/>
    <w:unhideWhenUsed/>
    <w:qFormat/>
    <w:rsid w:val="003e74b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7"/>
    <w:uiPriority w:val="99"/>
    <w:semiHidden/>
    <w:unhideWhenUsed/>
    <w:qFormat/>
    <w:rsid w:val="003e74b2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531d0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mz5060.ru/" TargetMode="External"/><Relationship Id="rId3" Type="http://schemas.openxmlformats.org/officeDocument/2006/relationships/hyperlink" Target="https://vk.com/mmz5060" TargetMode="External"/><Relationship Id="rId4" Type="http://schemas.openxmlformats.org/officeDocument/2006/relationships/hyperlink" Target="https://apps.apple.com/app/id6499460468" TargetMode="External"/><Relationship Id="rId5" Type="http://schemas.openxmlformats.org/officeDocument/2006/relationships/hyperlink" Target="https://calcus.ru/random-picker" TargetMode="External"/><Relationship Id="rId6" Type="http://schemas.openxmlformats.org/officeDocument/2006/relationships/hyperlink" Target="https://mmz5060.ru/" TargetMode="External"/><Relationship Id="rId7" Type="http://schemas.openxmlformats.org/officeDocument/2006/relationships/hyperlink" Target="https://vk.com/mmz5060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9409B-D6D4-4376-A7E1-595E26A0F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7274</TotalTime>
  <Application>LibreOffice/7.3.5.2$Windows_X86_64 LibreOffice_project/184fe81b8c8c30d8b5082578aee2fed2ea847c01</Application>
  <AppVersion>15.0000</AppVersion>
  <Pages>6</Pages>
  <Words>2351</Words>
  <Characters>15584</Characters>
  <CharactersWithSpaces>17863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2024-05-17T10:50:00Z</dcterms:created>
  <dc:creator>Мария Куксгаус</dc:creator>
  <dc:description/>
  <dc:language>ru-RU</dc:language>
  <cp:lastModifiedBy/>
  <cp:lastPrinted>2024-04-26T05:48:00Z</cp:lastPrinted>
  <dcterms:modified xsi:type="dcterms:W3CDTF">2026-05-30T13:09:39Z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